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jc w:val="center"/>
        <w:shd w:val="clear" w:color="auto" w:fill="E8F4D9"/>
        <w:tblCellMar>
          <w:left w:w="0" w:type="dxa"/>
          <w:right w:w="0" w:type="dxa"/>
        </w:tblCellMar>
        <w:tblLook w:val="04A0" w:firstRow="1" w:lastRow="0" w:firstColumn="1" w:lastColumn="0" w:noHBand="0" w:noVBand="1"/>
      </w:tblPr>
      <w:tblGrid>
        <w:gridCol w:w="10066"/>
        <w:gridCol w:w="299"/>
      </w:tblGrid>
      <w:tr w:rsidR="00BE7118" w:rsidRPr="00BE7118" w:rsidTr="00BE7118">
        <w:trPr>
          <w:jc w:val="center"/>
        </w:trPr>
        <w:tc>
          <w:tcPr>
            <w:tcW w:w="0" w:type="auto"/>
            <w:tcBorders>
              <w:top w:val="nil"/>
              <w:left w:val="nil"/>
              <w:bottom w:val="single" w:sz="6" w:space="0" w:color="DDDDDD"/>
              <w:right w:val="nil"/>
            </w:tcBorders>
            <w:shd w:val="clear" w:color="auto" w:fill="E8F4D9"/>
            <w:tcMar>
              <w:top w:w="75" w:type="dxa"/>
              <w:left w:w="75" w:type="dxa"/>
              <w:bottom w:w="75" w:type="dxa"/>
              <w:right w:w="75" w:type="dxa"/>
            </w:tcMar>
            <w:vAlign w:val="center"/>
            <w:hideMark/>
          </w:tcPr>
          <w:p w:rsidR="00BE7118" w:rsidRPr="00BE7118" w:rsidRDefault="00BE7118" w:rsidP="00BE7118">
            <w:pPr>
              <w:spacing w:after="0" w:line="432" w:lineRule="atLeast"/>
              <w:rPr>
                <w:rFonts w:ascii="Arial" w:eastAsia="Times New Roman" w:hAnsi="Arial" w:cs="Arial"/>
                <w:color w:val="000000"/>
                <w:sz w:val="29"/>
                <w:szCs w:val="29"/>
                <w:lang w:eastAsia="uk-UA"/>
              </w:rPr>
            </w:pPr>
            <w:r w:rsidRPr="00BE7118">
              <w:rPr>
                <w:rFonts w:ascii="Arial" w:eastAsia="Times New Roman" w:hAnsi="Arial" w:cs="Arial"/>
                <w:color w:val="000000"/>
                <w:sz w:val="29"/>
                <w:szCs w:val="29"/>
                <w:lang w:eastAsia="uk-UA"/>
              </w:rPr>
              <w:t>Допомога на дітей, над якими встановлено опіку чи піклування</w:t>
            </w:r>
          </w:p>
        </w:tc>
        <w:tc>
          <w:tcPr>
            <w:tcW w:w="0" w:type="auto"/>
            <w:tcBorders>
              <w:top w:val="nil"/>
              <w:left w:val="nil"/>
              <w:bottom w:val="single" w:sz="6" w:space="0" w:color="DDDDDD"/>
              <w:right w:val="nil"/>
            </w:tcBorders>
            <w:shd w:val="clear" w:color="auto" w:fill="E8F4D9"/>
            <w:noWrap/>
            <w:tcMar>
              <w:top w:w="75" w:type="dxa"/>
              <w:left w:w="75" w:type="dxa"/>
              <w:bottom w:w="75" w:type="dxa"/>
              <w:right w:w="75" w:type="dxa"/>
            </w:tcMar>
            <w:vAlign w:val="center"/>
            <w:hideMark/>
          </w:tcPr>
          <w:p w:rsidR="00BE7118" w:rsidRPr="00BE7118" w:rsidRDefault="00BE7118" w:rsidP="00BE7118">
            <w:pPr>
              <w:spacing w:after="0" w:line="360" w:lineRule="atLeast"/>
              <w:rPr>
                <w:rFonts w:ascii="Arial" w:eastAsia="Times New Roman" w:hAnsi="Arial" w:cs="Arial"/>
                <w:b/>
                <w:bCs/>
                <w:color w:val="FFFFFF"/>
                <w:sz w:val="24"/>
                <w:szCs w:val="24"/>
                <w:lang w:eastAsia="uk-UA"/>
              </w:rPr>
            </w:pPr>
          </w:p>
        </w:tc>
      </w:tr>
      <w:tr w:rsidR="00BE7118" w:rsidRPr="00BE7118" w:rsidTr="00BE7118">
        <w:trPr>
          <w:jc w:val="center"/>
        </w:trPr>
        <w:tc>
          <w:tcPr>
            <w:tcW w:w="0" w:type="auto"/>
            <w:gridSpan w:val="2"/>
            <w:tcBorders>
              <w:top w:val="nil"/>
              <w:left w:val="nil"/>
              <w:bottom w:val="nil"/>
              <w:right w:val="nil"/>
            </w:tcBorders>
            <w:shd w:val="clear" w:color="auto" w:fill="E8F4D9"/>
            <w:vAlign w:val="center"/>
            <w:hideMark/>
          </w:tcPr>
          <w:p w:rsidR="00BE7118" w:rsidRPr="00BE7118" w:rsidRDefault="00BE7118" w:rsidP="00BE7118">
            <w:pPr>
              <w:spacing w:after="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bdr w:val="none" w:sz="0" w:space="0" w:color="auto" w:frame="1"/>
                <w:lang w:eastAsia="uk-UA"/>
              </w:rPr>
              <w:t>Відповідно до ЗУ «</w:t>
            </w:r>
            <w:hyperlink r:id="rId6" w:history="1">
              <w:r w:rsidRPr="00BE7118">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BE7118">
              <w:rPr>
                <w:rFonts w:ascii="Arial" w:eastAsia="Times New Roman" w:hAnsi="Arial" w:cs="Arial"/>
                <w:color w:val="000000"/>
                <w:sz w:val="20"/>
                <w:szCs w:val="20"/>
                <w:bdr w:val="none" w:sz="0" w:space="0" w:color="auto" w:frame="1"/>
                <w:lang w:eastAsia="uk-UA"/>
              </w:rPr>
              <w:t>», статті 16 д</w:t>
            </w:r>
            <w:r w:rsidRPr="00BE7118">
              <w:rPr>
                <w:rFonts w:ascii="Arial" w:eastAsia="Times New Roman" w:hAnsi="Arial" w:cs="Arial"/>
                <w:color w:val="000000"/>
                <w:sz w:val="20"/>
                <w:szCs w:val="20"/>
                <w:lang w:eastAsia="uk-UA"/>
              </w:rPr>
              <w:t>опомога на дітей, над якими встановлено опіку чи піклування, призначається особам, визначеним в установленому порядку опікунами чи піклувальниками дітей, які внаслідок смерті батьків, позбавлення їх батьківських прав, хвороби батьків чи з інших причин залишилися без батьківського піклування та згідно з чинним законодавством набули статусу дитини-сироти, дитини, позбавленої батьківського піклування.</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Допомога на дітей, над якими встановлено опіку чи піклування призначається та виплачується органами праці та соціального захисту населення за місцем проживання опікуна чи піклувальника або дитини.</w:t>
            </w:r>
          </w:p>
          <w:p w:rsidR="00BE7118" w:rsidRPr="00BE7118" w:rsidRDefault="00BE7118" w:rsidP="00BE7118">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BE7118">
              <w:rPr>
                <w:rFonts w:ascii="Arial" w:eastAsia="Times New Roman" w:hAnsi="Arial" w:cs="Arial"/>
                <w:b/>
                <w:bCs/>
                <w:color w:val="222222"/>
                <w:sz w:val="36"/>
                <w:szCs w:val="36"/>
                <w:lang w:eastAsia="uk-UA"/>
              </w:rPr>
              <w:t>Документи, що необхідні для отримання допомоги на дітей, над якими встановлено опіку чи піклування</w:t>
            </w:r>
          </w:p>
          <w:p w:rsidR="00BE7118" w:rsidRPr="00BE7118" w:rsidRDefault="00BE7118" w:rsidP="00342856">
            <w:pPr>
              <w:spacing w:after="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bdr w:val="none" w:sz="0" w:space="0" w:color="auto" w:frame="1"/>
                <w:lang w:eastAsia="uk-UA"/>
              </w:rPr>
              <w:t>Відповідно до Постанови Кабінету міністрів України «</w:t>
            </w:r>
            <w:hyperlink r:id="rId7" w:history="1">
              <w:r w:rsidRPr="00BE7118">
                <w:rPr>
                  <w:rFonts w:ascii="Arial" w:eastAsia="Times New Roman" w:hAnsi="Arial" w:cs="Arial"/>
                  <w:color w:val="8B4513"/>
                  <w:sz w:val="20"/>
                  <w:szCs w:val="20"/>
                  <w:u w:val="single"/>
                  <w:bdr w:val="none" w:sz="0" w:space="0" w:color="auto" w:frame="1"/>
                  <w:lang w:eastAsia="uk-UA"/>
                </w:rPr>
                <w:t>Про затвердження Порядку </w:t>
              </w:r>
            </w:hyperlink>
            <w:hyperlink r:id="rId8" w:history="1">
              <w:r w:rsidRPr="00BE7118">
                <w:rPr>
                  <w:rFonts w:ascii="Arial" w:eastAsia="Times New Roman" w:hAnsi="Arial" w:cs="Arial"/>
                  <w:color w:val="8B4513"/>
                  <w:sz w:val="20"/>
                  <w:szCs w:val="20"/>
                  <w:u w:val="single"/>
                  <w:bdr w:val="none" w:sz="0" w:space="0" w:color="auto" w:frame="1"/>
                  <w:lang w:eastAsia="uk-UA"/>
                </w:rPr>
                <w:t>призначення і виплати державної допомоги сім’ям з дітьми</w:t>
              </w:r>
            </w:hyperlink>
            <w:r w:rsidRPr="00BE7118">
              <w:rPr>
                <w:rFonts w:ascii="Arial" w:eastAsia="Times New Roman" w:hAnsi="Arial" w:cs="Arial"/>
                <w:color w:val="000000"/>
                <w:sz w:val="20"/>
                <w:szCs w:val="20"/>
                <w:bdr w:val="none" w:sz="0" w:space="0" w:color="auto" w:frame="1"/>
                <w:lang w:eastAsia="uk-UA"/>
              </w:rPr>
              <w:t>», п. 27 д</w:t>
            </w:r>
            <w:r w:rsidRPr="00BE7118">
              <w:rPr>
                <w:rFonts w:ascii="Arial" w:eastAsia="Times New Roman" w:hAnsi="Arial" w:cs="Arial"/>
                <w:color w:val="000000"/>
                <w:sz w:val="20"/>
                <w:szCs w:val="20"/>
                <w:lang w:eastAsia="uk-UA"/>
              </w:rPr>
              <w:t>ля одержання допомоги на дітей, над якими встановлено опіку чи піклування, органу праці та соціального захисту населення подаються наступні документи:</w:t>
            </w:r>
            <w:bookmarkStart w:id="0" w:name="_GoBack"/>
            <w:bookmarkEnd w:id="0"/>
          </w:p>
          <w:p w:rsidR="00BE7118" w:rsidRPr="00BE7118" w:rsidRDefault="00BE7118" w:rsidP="00342856">
            <w:pPr>
              <w:numPr>
                <w:ilvl w:val="0"/>
                <w:numId w:val="1"/>
              </w:numPr>
              <w:spacing w:after="0" w:line="360" w:lineRule="atLeast"/>
              <w:ind w:left="240"/>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заява опікуна чи піклувальника про призначення допомоги, що складається за формою, затвердженою Міністерством праці та соціальної політики;</w:t>
            </w:r>
          </w:p>
          <w:p w:rsidR="00BE7118" w:rsidRPr="00BE7118" w:rsidRDefault="00BE7118" w:rsidP="00342856">
            <w:pPr>
              <w:numPr>
                <w:ilvl w:val="0"/>
                <w:numId w:val="1"/>
              </w:numPr>
              <w:spacing w:after="0" w:line="360" w:lineRule="atLeast"/>
              <w:ind w:left="240"/>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BE7118" w:rsidRPr="00BE7118" w:rsidRDefault="00BE7118" w:rsidP="00342856">
            <w:pPr>
              <w:numPr>
                <w:ilvl w:val="0"/>
                <w:numId w:val="1"/>
              </w:numPr>
              <w:spacing w:after="0" w:line="360" w:lineRule="atLeast"/>
              <w:ind w:left="240"/>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копія свідоцтва про народження дитини;</w:t>
            </w:r>
          </w:p>
          <w:p w:rsidR="00BE7118" w:rsidRPr="00BE7118" w:rsidRDefault="00BE7118" w:rsidP="00342856">
            <w:pPr>
              <w:numPr>
                <w:ilvl w:val="0"/>
                <w:numId w:val="1"/>
              </w:numPr>
              <w:spacing w:after="0" w:line="360" w:lineRule="atLeast"/>
              <w:ind w:left="240"/>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xml:space="preserve">довідка з місця проживання заявника про склад сім’ї (для дітей, над якими встановлено опіку чи піклування і є вихованцями дитячих навчальних закладів, що фінансуються не за рахунок бюджетних </w:t>
            </w:r>
            <w:proofErr w:type="spellStart"/>
            <w:r w:rsidRPr="00BE7118">
              <w:rPr>
                <w:rFonts w:ascii="Arial" w:eastAsia="Times New Roman" w:hAnsi="Arial" w:cs="Arial"/>
                <w:color w:val="000000"/>
                <w:sz w:val="20"/>
                <w:szCs w:val="20"/>
                <w:lang w:eastAsia="uk-UA"/>
              </w:rPr>
              <w:t>коштів—</w:t>
            </w:r>
            <w:proofErr w:type="spellEnd"/>
            <w:r w:rsidRPr="00BE7118">
              <w:rPr>
                <w:rFonts w:ascii="Arial" w:eastAsia="Times New Roman" w:hAnsi="Arial" w:cs="Arial"/>
                <w:color w:val="000000"/>
                <w:sz w:val="20"/>
                <w:szCs w:val="20"/>
                <w:lang w:eastAsia="uk-UA"/>
              </w:rPr>
              <w:t xml:space="preserve"> видана органом реєстрації довідка, у якій зазначаються статус дитячого навчального закладу і за які кошти він фінансується, а також підтверджується факт перебування у ньому дітей);</w:t>
            </w:r>
          </w:p>
          <w:p w:rsidR="00BE7118" w:rsidRPr="00BE7118" w:rsidRDefault="00BE7118" w:rsidP="00342856">
            <w:pPr>
              <w:numPr>
                <w:ilvl w:val="0"/>
                <w:numId w:val="1"/>
              </w:numPr>
              <w:spacing w:after="0" w:line="360" w:lineRule="atLeast"/>
              <w:ind w:left="240"/>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праці та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r w:rsidRPr="00BE7118">
              <w:rPr>
                <w:rFonts w:ascii="Arial" w:eastAsia="Times New Roman" w:hAnsi="Arial" w:cs="Arial"/>
                <w:color w:val="000000"/>
                <w:sz w:val="20"/>
                <w:szCs w:val="20"/>
                <w:bdr w:val="none" w:sz="0" w:space="0" w:color="auto" w:frame="1"/>
                <w:lang w:eastAsia="uk-UA"/>
              </w:rPr>
              <w:t>;</w:t>
            </w:r>
          </w:p>
          <w:p w:rsidR="00BE7118" w:rsidRPr="00BE7118" w:rsidRDefault="00BE7118" w:rsidP="00342856">
            <w:pPr>
              <w:numPr>
                <w:ilvl w:val="0"/>
                <w:numId w:val="1"/>
              </w:numPr>
              <w:spacing w:after="0" w:line="360" w:lineRule="atLeast"/>
              <w:ind w:left="240"/>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довідка, видана органом праці та соціального захисту населення за місцем реєстрації опікуна чи піклувальника про те, що він не перебуває на обліку як одержувач допомоги на дітей, над якими встановлено опіку чи піклування, і не одержує зазначеної допомоги, для опікуна чи піклувальника, який проживає за місцем проживання дитини, над якою встановлено опіку чи піклування</w:t>
            </w:r>
            <w:r w:rsidRPr="00BE7118">
              <w:rPr>
                <w:rFonts w:ascii="Arial" w:eastAsia="Times New Roman" w:hAnsi="Arial" w:cs="Arial"/>
                <w:color w:val="000000"/>
                <w:sz w:val="20"/>
                <w:szCs w:val="20"/>
                <w:bdr w:val="none" w:sz="0" w:space="0" w:color="auto" w:frame="1"/>
                <w:lang w:eastAsia="uk-UA"/>
              </w:rPr>
              <w:t>;</w:t>
            </w:r>
          </w:p>
          <w:p w:rsidR="00BE7118" w:rsidRPr="00BE7118" w:rsidRDefault="00BE7118" w:rsidP="00342856">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40"/>
              <w:jc w:val="both"/>
              <w:textAlignment w:val="baseline"/>
              <w:rPr>
                <w:rFonts w:ascii="Courier New" w:eastAsia="Times New Roman" w:hAnsi="Courier New" w:cs="Courier New"/>
                <w:color w:val="000000"/>
                <w:sz w:val="20"/>
                <w:szCs w:val="20"/>
                <w:lang w:eastAsia="uk-UA"/>
              </w:rPr>
            </w:pPr>
            <w:r w:rsidRPr="00BE7118">
              <w:rPr>
                <w:rFonts w:ascii="Courier New" w:eastAsia="Times New Roman" w:hAnsi="Courier New" w:cs="Courier New"/>
                <w:color w:val="000000"/>
                <w:sz w:val="20"/>
                <w:szCs w:val="20"/>
                <w:bdr w:val="none" w:sz="0" w:space="0" w:color="auto" w:frame="1"/>
                <w:lang w:eastAsia="uk-UA"/>
              </w:rPr>
              <w:t xml:space="preserve">медичний висновок про дитину-інваліда віком до 18 років, </w:t>
            </w:r>
            <w:r w:rsidRPr="00BE7118">
              <w:rPr>
                <w:rFonts w:ascii="Courier New" w:eastAsia="Times New Roman" w:hAnsi="Courier New" w:cs="Courier New"/>
                <w:color w:val="000000"/>
                <w:sz w:val="20"/>
                <w:szCs w:val="20"/>
                <w:lang w:eastAsia="uk-UA"/>
              </w:rPr>
              <w:t>виданий в установленому МОЗ порядку.</w:t>
            </w:r>
          </w:p>
          <w:p w:rsidR="00BE7118" w:rsidRPr="00BE7118" w:rsidRDefault="00BE7118" w:rsidP="00BE7118">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BE7118">
              <w:rPr>
                <w:rFonts w:ascii="Arial" w:eastAsia="Times New Roman" w:hAnsi="Arial" w:cs="Arial"/>
                <w:b/>
                <w:bCs/>
                <w:color w:val="222222"/>
                <w:sz w:val="36"/>
                <w:szCs w:val="36"/>
                <w:lang w:eastAsia="uk-UA"/>
              </w:rPr>
              <w:t>Умови призначення допомоги на дітей, над якими встановлено опіку чи піклування</w:t>
            </w:r>
          </w:p>
          <w:p w:rsidR="00BE7118" w:rsidRPr="00BE7118" w:rsidRDefault="00BE7118" w:rsidP="00BE7118">
            <w:pPr>
              <w:spacing w:after="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bdr w:val="none" w:sz="0" w:space="0" w:color="auto" w:frame="1"/>
                <w:lang w:eastAsia="uk-UA"/>
              </w:rPr>
              <w:t>Відповідно до Постанови Кабінету міністрів України «</w:t>
            </w:r>
            <w:hyperlink r:id="rId9" w:history="1">
              <w:r w:rsidRPr="00BE7118">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допомоги сім’ям з дітьми</w:t>
              </w:r>
            </w:hyperlink>
            <w:r w:rsidRPr="00BE7118">
              <w:rPr>
                <w:rFonts w:ascii="Arial" w:eastAsia="Times New Roman" w:hAnsi="Arial" w:cs="Arial"/>
                <w:color w:val="000000"/>
                <w:sz w:val="20"/>
                <w:szCs w:val="20"/>
                <w:bdr w:val="none" w:sz="0" w:space="0" w:color="auto" w:frame="1"/>
                <w:lang w:eastAsia="uk-UA"/>
              </w:rPr>
              <w:t>», п. 27 д</w:t>
            </w:r>
            <w:r w:rsidRPr="00BE7118">
              <w:rPr>
                <w:rFonts w:ascii="Arial" w:eastAsia="Times New Roman" w:hAnsi="Arial" w:cs="Arial"/>
                <w:color w:val="000000"/>
                <w:sz w:val="20"/>
                <w:szCs w:val="20"/>
                <w:lang w:eastAsia="uk-UA"/>
              </w:rPr>
              <w:t xml:space="preserve">опомога на дітей, над якими встановлено опіку чи піклування, призначається на шість місяців. Питання про продовження виплати допомоги вирішується на підставі заяви та </w:t>
            </w:r>
            <w:r w:rsidRPr="00BE7118">
              <w:rPr>
                <w:rFonts w:ascii="Arial" w:eastAsia="Times New Roman" w:hAnsi="Arial" w:cs="Arial"/>
                <w:color w:val="000000"/>
                <w:sz w:val="20"/>
                <w:szCs w:val="20"/>
                <w:lang w:eastAsia="uk-UA"/>
              </w:rPr>
              <w:lastRenderedPageBreak/>
              <w:t>довідок про місячні розміри пенсії, аліментів, стипендії, державної допомоги, що одержує опікун чи піклувальник на дитину.</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Допомога на дітей, над якими встановлено опіку чи піклування, призначається з місяця, в якому була подана заява з усіма необхідними документами, та виплачується щомісяця до моменту досягнення дитиною 18-річного віку включно.</w:t>
            </w:r>
          </w:p>
          <w:p w:rsidR="00BE7118" w:rsidRPr="00BE7118" w:rsidRDefault="00BE7118" w:rsidP="00BE7118">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BE7118">
              <w:rPr>
                <w:rFonts w:ascii="Arial" w:eastAsia="Times New Roman" w:hAnsi="Arial" w:cs="Arial"/>
                <w:b/>
                <w:bCs/>
                <w:color w:val="222222"/>
                <w:sz w:val="36"/>
                <w:szCs w:val="36"/>
                <w:lang w:eastAsia="uk-UA"/>
              </w:rPr>
              <w:t>Умови припинення надання допомоги на дітей, над якими встановлено опіку чи піклування</w:t>
            </w:r>
          </w:p>
          <w:p w:rsidR="00BE7118" w:rsidRPr="00BE7118" w:rsidRDefault="00BE7118" w:rsidP="00BE7118">
            <w:pPr>
              <w:spacing w:after="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bdr w:val="none" w:sz="0" w:space="0" w:color="auto" w:frame="1"/>
                <w:lang w:eastAsia="uk-UA"/>
              </w:rPr>
              <w:t>Відповідно до Постанови Кабінету міністрів України «</w:t>
            </w:r>
            <w:hyperlink r:id="rId10" w:history="1">
              <w:r w:rsidRPr="00BE7118">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допомоги сім’ям з дітьми</w:t>
              </w:r>
            </w:hyperlink>
            <w:r w:rsidRPr="00BE7118">
              <w:rPr>
                <w:rFonts w:ascii="Arial" w:eastAsia="Times New Roman" w:hAnsi="Arial" w:cs="Arial"/>
                <w:color w:val="000000"/>
                <w:sz w:val="20"/>
                <w:szCs w:val="20"/>
                <w:bdr w:val="none" w:sz="0" w:space="0" w:color="auto" w:frame="1"/>
                <w:lang w:eastAsia="uk-UA"/>
              </w:rPr>
              <w:t>», п. 30 у</w:t>
            </w:r>
            <w:r w:rsidRPr="00BE7118">
              <w:rPr>
                <w:rFonts w:ascii="Arial" w:eastAsia="Times New Roman" w:hAnsi="Arial" w:cs="Arial"/>
                <w:color w:val="000000"/>
                <w:sz w:val="20"/>
                <w:szCs w:val="20"/>
                <w:lang w:eastAsia="uk-UA"/>
              </w:rPr>
              <w:t>мовами припинення виплати допомоги на дітей, над якими встановлено опіку чи піклування, є:</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звільнення від виконання обов’язків опікуна чи піклувальника;</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працевлаштування або взяття шлюбу дитиною до досягнення нею 18-річного віку;</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усиновлення дитини, передача дитини батькам;</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досягнення дитиною 18-річного віку;</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надання неповнолітній особі повної цивільної дієздатності, якщо вона записана матір’ю або батьком дитини.</w:t>
            </w:r>
          </w:p>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У разі виникнення обставин, внаслідок яких може бути припинена виплата зазначеної допомоги, її одержувачі, служба у справах дітей, виконавчий комітет сільської (селищної) ради зобов’язані у десятиденний термін повідомити про це органи праці та соціального захисту населення, які виплачують допомогу.</w:t>
            </w:r>
          </w:p>
          <w:p w:rsidR="00BE7118" w:rsidRPr="00BE7118" w:rsidRDefault="00BE7118" w:rsidP="00BE7118">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BE7118">
              <w:rPr>
                <w:rFonts w:ascii="Arial" w:eastAsia="Times New Roman" w:hAnsi="Arial" w:cs="Arial"/>
                <w:b/>
                <w:bCs/>
                <w:color w:val="222222"/>
                <w:sz w:val="36"/>
                <w:szCs w:val="36"/>
                <w:lang w:eastAsia="uk-UA"/>
              </w:rPr>
              <w:t>Розмір допомоги на дітей, над якими встановлено опіку чи піклування</w:t>
            </w:r>
          </w:p>
          <w:p w:rsidR="00BE7118" w:rsidRPr="00BE7118" w:rsidRDefault="00BE7118" w:rsidP="00BE7118">
            <w:pPr>
              <w:spacing w:after="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bdr w:val="none" w:sz="0" w:space="0" w:color="auto" w:frame="1"/>
                <w:lang w:eastAsia="uk-UA"/>
              </w:rPr>
              <w:t>Відповідно до ЗУ «</w:t>
            </w:r>
            <w:hyperlink r:id="rId11" w:history="1">
              <w:r w:rsidRPr="00BE7118">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BE7118">
              <w:rPr>
                <w:rFonts w:ascii="Arial" w:eastAsia="Times New Roman" w:hAnsi="Arial" w:cs="Arial"/>
                <w:color w:val="000000"/>
                <w:sz w:val="20"/>
                <w:szCs w:val="20"/>
                <w:bdr w:val="none" w:sz="0" w:space="0" w:color="auto" w:frame="1"/>
                <w:lang w:eastAsia="uk-UA"/>
              </w:rPr>
              <w:t>», статті 18 д</w:t>
            </w:r>
            <w:r w:rsidRPr="00BE7118">
              <w:rPr>
                <w:rFonts w:ascii="Arial" w:eastAsia="Times New Roman" w:hAnsi="Arial" w:cs="Arial"/>
                <w:color w:val="000000"/>
                <w:sz w:val="20"/>
                <w:szCs w:val="20"/>
                <w:lang w:eastAsia="uk-UA"/>
              </w:rPr>
              <w:t>опомога на дітей, над якими встановлено опіку чи піклування надається у розмірі, що дорівнює різниці між двома прожитковими мінімумами для дитини відповідного віку та середньомісячним розміром одержуваних на дитину аліментів, пенсії, стипендії та державної допомоги за попередні шість календарних місяців.</w:t>
            </w:r>
          </w:p>
          <w:tbl>
            <w:tblPr>
              <w:tblW w:w="1020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2261"/>
              <w:gridCol w:w="1492"/>
              <w:gridCol w:w="1347"/>
              <w:gridCol w:w="1508"/>
              <w:gridCol w:w="1716"/>
              <w:gridCol w:w="1876"/>
            </w:tblGrid>
            <w:tr w:rsidR="00BE7118" w:rsidRPr="00BE7118">
              <w:tc>
                <w:tcPr>
                  <w:tcW w:w="9540" w:type="dxa"/>
                  <w:gridSpan w:val="6"/>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bdr w:val="none" w:sz="0" w:space="0" w:color="auto" w:frame="1"/>
                      <w:lang w:eastAsia="uk-UA"/>
                    </w:rPr>
                    <w:t>Максимальний р</w:t>
                  </w:r>
                  <w:r w:rsidRPr="00BE7118">
                    <w:rPr>
                      <w:rFonts w:ascii="Times New Roman" w:eastAsia="Times New Roman" w:hAnsi="Times New Roman" w:cs="Times New Roman"/>
                      <w:sz w:val="20"/>
                      <w:szCs w:val="20"/>
                      <w:lang w:eastAsia="uk-UA"/>
                    </w:rPr>
                    <w:t>озмір допомоги на дітей, над якими встановлено опіку чи піклування у 2015 році</w:t>
                  </w:r>
                </w:p>
              </w:tc>
            </w:tr>
            <w:tr w:rsidR="00BE7118" w:rsidRPr="00BE7118">
              <w:tc>
                <w:tcPr>
                  <w:tcW w:w="211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3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З 1-го січня, грн.</w:t>
                  </w:r>
                </w:p>
              </w:tc>
              <w:tc>
                <w:tcPr>
                  <w:tcW w:w="126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 З 1-го грудня</w:t>
                  </w:r>
                </w:p>
              </w:tc>
              <w:tc>
                <w:tcPr>
                  <w:tcW w:w="14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60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4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r>
            <w:tr w:rsidR="00BE7118" w:rsidRPr="00BE7118">
              <w:tc>
                <w:tcPr>
                  <w:tcW w:w="211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Діти віком до 6-ти років</w:t>
                  </w:r>
                </w:p>
              </w:tc>
              <w:tc>
                <w:tcPr>
                  <w:tcW w:w="13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2064</w:t>
                  </w:r>
                </w:p>
              </w:tc>
              <w:tc>
                <w:tcPr>
                  <w:tcW w:w="126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2334</w:t>
                  </w:r>
                </w:p>
              </w:tc>
              <w:tc>
                <w:tcPr>
                  <w:tcW w:w="14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60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4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r>
            <w:tr w:rsidR="00BE7118" w:rsidRPr="00BE7118">
              <w:tc>
                <w:tcPr>
                  <w:tcW w:w="211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Діти віком від 6 до 18 років</w:t>
                  </w:r>
                </w:p>
              </w:tc>
              <w:tc>
                <w:tcPr>
                  <w:tcW w:w="13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2572</w:t>
                  </w:r>
                </w:p>
              </w:tc>
              <w:tc>
                <w:tcPr>
                  <w:tcW w:w="126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r w:rsidRPr="00BE7118">
                    <w:rPr>
                      <w:rFonts w:ascii="Times New Roman" w:eastAsia="Times New Roman" w:hAnsi="Times New Roman" w:cs="Times New Roman"/>
                      <w:sz w:val="20"/>
                      <w:szCs w:val="20"/>
                      <w:lang w:eastAsia="uk-UA"/>
                    </w:rPr>
                    <w:t>2910</w:t>
                  </w:r>
                </w:p>
              </w:tc>
              <w:tc>
                <w:tcPr>
                  <w:tcW w:w="14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60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c>
                <w:tcPr>
                  <w:tcW w:w="14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BE7118" w:rsidRPr="00BE7118" w:rsidRDefault="00BE7118" w:rsidP="00BE7118">
                  <w:pPr>
                    <w:spacing w:after="0" w:line="240" w:lineRule="auto"/>
                    <w:rPr>
                      <w:rFonts w:ascii="Times New Roman" w:eastAsia="Times New Roman" w:hAnsi="Times New Roman" w:cs="Times New Roman"/>
                      <w:sz w:val="20"/>
                      <w:szCs w:val="20"/>
                      <w:lang w:eastAsia="uk-UA"/>
                    </w:rPr>
                  </w:pPr>
                </w:p>
              </w:tc>
            </w:tr>
          </w:tbl>
          <w:p w:rsidR="00BE7118" w:rsidRPr="00BE7118" w:rsidRDefault="00BE7118" w:rsidP="00BE7118">
            <w:pPr>
              <w:spacing w:after="300" w:line="360" w:lineRule="atLeast"/>
              <w:jc w:val="both"/>
              <w:textAlignment w:val="baseline"/>
              <w:rPr>
                <w:rFonts w:ascii="Arial" w:eastAsia="Times New Roman" w:hAnsi="Arial" w:cs="Arial"/>
                <w:color w:val="000000"/>
                <w:sz w:val="20"/>
                <w:szCs w:val="20"/>
                <w:lang w:eastAsia="uk-UA"/>
              </w:rPr>
            </w:pPr>
            <w:r w:rsidRPr="00BE7118">
              <w:rPr>
                <w:rFonts w:ascii="Arial" w:eastAsia="Times New Roman" w:hAnsi="Arial" w:cs="Arial"/>
                <w:color w:val="000000"/>
                <w:sz w:val="20"/>
                <w:szCs w:val="20"/>
                <w:lang w:eastAsia="uk-UA"/>
              </w:rPr>
              <w:t xml:space="preserve">У разі коли для дітей, над якими встановлено опіку чи піклування, аліменти (за відсутності осіб, що згідно закону зобов’язані їх утримувати), пенсія, стипендія, державна допомога за попередні шість календарних місяців не нараховувалися, зазначена допомога призначається у розмірі двох прожиткових мінімумів для </w:t>
            </w:r>
            <w:r w:rsidRPr="00BE7118">
              <w:rPr>
                <w:rFonts w:ascii="Arial" w:eastAsia="Times New Roman" w:hAnsi="Arial" w:cs="Arial"/>
                <w:color w:val="000000"/>
                <w:sz w:val="20"/>
                <w:szCs w:val="20"/>
                <w:lang w:eastAsia="uk-UA"/>
              </w:rPr>
              <w:lastRenderedPageBreak/>
              <w:t>дитини відповідного віку. Потрібно зазначити також , що у разі передачі дітей-сиріт та дітей, позбавлених батьківського піклування, під опіку чи піклування або влаштування в дитячий будинок сімейного типу, прийомну сім’ю до розрахунку розміру допомоги на таку дитину не включається розмір призначеної державної соціальної допомоги на дітей-сиріт та дітей, позбавлених батьківського піклування.</w:t>
            </w:r>
          </w:p>
        </w:tc>
      </w:tr>
    </w:tbl>
    <w:p w:rsidR="00105A3A" w:rsidRDefault="00105A3A"/>
    <w:sectPr w:rsidR="00105A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236D"/>
    <w:multiLevelType w:val="multilevel"/>
    <w:tmpl w:val="9F94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5A"/>
    <w:rsid w:val="00105A3A"/>
    <w:rsid w:val="002A765A"/>
    <w:rsid w:val="00342856"/>
    <w:rsid w:val="00BE7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711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118"/>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BE7118"/>
    <w:rPr>
      <w:color w:val="0000FF"/>
      <w:u w:val="single"/>
    </w:rPr>
  </w:style>
  <w:style w:type="paragraph" w:styleId="a4">
    <w:name w:val="Normal (Web)"/>
    <w:basedOn w:val="a"/>
    <w:uiPriority w:val="99"/>
    <w:unhideWhenUsed/>
    <w:rsid w:val="00BE7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E7118"/>
  </w:style>
  <w:style w:type="paragraph" w:styleId="HTML">
    <w:name w:val="HTML Preformatted"/>
    <w:basedOn w:val="a"/>
    <w:link w:val="HTML0"/>
    <w:uiPriority w:val="99"/>
    <w:semiHidden/>
    <w:unhideWhenUsed/>
    <w:rsid w:val="00BE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E7118"/>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711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118"/>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BE7118"/>
    <w:rPr>
      <w:color w:val="0000FF"/>
      <w:u w:val="single"/>
    </w:rPr>
  </w:style>
  <w:style w:type="paragraph" w:styleId="a4">
    <w:name w:val="Normal (Web)"/>
    <w:basedOn w:val="a"/>
    <w:uiPriority w:val="99"/>
    <w:unhideWhenUsed/>
    <w:rsid w:val="00BE7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E7118"/>
  </w:style>
  <w:style w:type="paragraph" w:styleId="HTML">
    <w:name w:val="HTML Preformatted"/>
    <w:basedOn w:val="a"/>
    <w:link w:val="HTML0"/>
    <w:uiPriority w:val="99"/>
    <w:semiHidden/>
    <w:unhideWhenUsed/>
    <w:rsid w:val="00BE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E7118"/>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main.cgi?nreg=1751-2001-%EF&amp;p=127020489773350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1.rada.gov.ua/cgi-bin/laws/main.cgi?nreg=1751-2001-%EF&amp;p=12702048977335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D0%BF%D1%80%D0%BE%20%D0%B4%D0%B5%D1%80%D0%B6%D0%B0%D0%B2%D0%BD%D1%83%20%D0%B4%D0%BE%D0%BF%D0%BE%D0%BC%D0%BE%D0%B3%D1%83%20%D1%81%D1%96%D0%BC'%D1%8F%D0%BC%20%D0%B7%20%D0%B4%D1%96%D1%82%D1%8C%D0%BC%D0%B8" TargetMode="External"/><Relationship Id="rId11" Type="http://schemas.openxmlformats.org/officeDocument/2006/relationships/hyperlink" Target="http://zakon2.rada.gov.ua/laws/show/%D0%BF%D1%80%D0%BE%20%D0%B4%D0%B5%D1%80%D0%B6%D0%B0%D0%B2%D0%BD%D1%83%20%D0%B4%D0%BE%D0%BF%D0%BE%D0%BC%D0%BE%D0%B3%D1%83%20%D1%81%D1%96%D0%BC'%D1%8F%D0%BC%20%D0%B7%20%D0%B4%D1%96%D1%82%D1%8C%D0%BC%D0%B8" TargetMode="External"/><Relationship Id="rId5" Type="http://schemas.openxmlformats.org/officeDocument/2006/relationships/webSettings" Target="webSettings.xml"/><Relationship Id="rId10" Type="http://schemas.openxmlformats.org/officeDocument/2006/relationships/hyperlink" Target="http://zakon1.rada.gov.ua/cgi-bin/laws/main.cgi?nreg=1751-2001-%EF&amp;p=1270204897733506" TargetMode="External"/><Relationship Id="rId4" Type="http://schemas.openxmlformats.org/officeDocument/2006/relationships/settings" Target="settings.xml"/><Relationship Id="rId9" Type="http://schemas.openxmlformats.org/officeDocument/2006/relationships/hyperlink" Target="http://zakon1.rada.gov.ua/cgi-bin/laws/main.cgi?nreg=1751-2001-%EF&amp;p=1270204897733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4212</Words>
  <Characters>2402</Characters>
  <Application>Microsoft Office Word</Application>
  <DocSecurity>0</DocSecurity>
  <Lines>20</Lines>
  <Paragraphs>13</Paragraphs>
  <ScaleCrop>false</ScaleCrop>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2014-12-18T16:35:00Z</dcterms:created>
  <dcterms:modified xsi:type="dcterms:W3CDTF">2014-12-18T16:44:00Z</dcterms:modified>
</cp:coreProperties>
</file>